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6BC7" w14:textId="087B31E5" w:rsidR="00FC06F7" w:rsidRPr="00483155" w:rsidRDefault="00253F7E" w:rsidP="006A60D1">
      <w:bookmarkStart w:id="0" w:name="_Hlk30667337"/>
      <w:r w:rsidRPr="00483155">
        <w:rPr>
          <w:rFonts w:ascii="Calibri" w:hAnsi="Calibri"/>
          <w:b/>
          <w:bCs/>
          <w:sz w:val="28"/>
          <w:szCs w:val="28"/>
        </w:rPr>
        <w:t>În atenția domnul</w:t>
      </w:r>
      <w:r w:rsidRPr="00483155">
        <w:rPr>
          <w:rFonts w:cstheme="minorHAnsi"/>
          <w:b/>
          <w:bCs/>
          <w:sz w:val="28"/>
          <w:szCs w:val="28"/>
        </w:rPr>
        <w:t xml:space="preserve">ui </w:t>
      </w:r>
      <w:r w:rsidR="00FC06F7" w:rsidRPr="00483155">
        <w:rPr>
          <w:b/>
          <w:bCs/>
          <w:sz w:val="28"/>
          <w:szCs w:val="28"/>
        </w:rPr>
        <w:t>Bogdan G</w:t>
      </w:r>
      <w:r w:rsidR="00483155">
        <w:rPr>
          <w:b/>
          <w:bCs/>
          <w:sz w:val="28"/>
          <w:szCs w:val="28"/>
        </w:rPr>
        <w:t>â</w:t>
      </w:r>
      <w:r w:rsidR="00FC06F7" w:rsidRPr="00483155">
        <w:rPr>
          <w:b/>
          <w:bCs/>
          <w:sz w:val="28"/>
          <w:szCs w:val="28"/>
        </w:rPr>
        <w:t>lc</w:t>
      </w:r>
      <w:r w:rsidR="00483155">
        <w:rPr>
          <w:b/>
          <w:bCs/>
          <w:sz w:val="28"/>
          <w:szCs w:val="28"/>
        </w:rPr>
        <w:t>ă</w:t>
      </w:r>
      <w:r w:rsidR="00FC06F7" w:rsidRPr="00483155">
        <w:rPr>
          <w:b/>
          <w:bCs/>
          <w:sz w:val="28"/>
          <w:szCs w:val="28"/>
        </w:rPr>
        <w:t>, redactor Lumea Banilor-luba.ro</w:t>
      </w:r>
    </w:p>
    <w:p w14:paraId="222A58DB" w14:textId="77777777" w:rsidR="00C36817" w:rsidRPr="003D54E9" w:rsidRDefault="00C36817" w:rsidP="003D54E9"/>
    <w:p w14:paraId="1D78B9AF" w14:textId="2B5B4F24" w:rsidR="00C36817" w:rsidRPr="00483155" w:rsidRDefault="00253F7E" w:rsidP="00253F7E">
      <w:pPr>
        <w:spacing w:line="360" w:lineRule="auto"/>
        <w:jc w:val="both"/>
        <w:rPr>
          <w:rFonts w:cstheme="minorHAnsi"/>
          <w:b/>
          <w:bCs/>
          <w:i/>
          <w:iCs/>
          <w:sz w:val="24"/>
          <w:szCs w:val="24"/>
        </w:rPr>
      </w:pPr>
      <w:r w:rsidRPr="00483155">
        <w:rPr>
          <w:rFonts w:cstheme="minorHAnsi"/>
          <w:b/>
          <w:bCs/>
          <w:i/>
          <w:iCs/>
          <w:sz w:val="24"/>
          <w:szCs w:val="24"/>
        </w:rPr>
        <w:t>În urma solicitării dvs</w:t>
      </w:r>
      <w:r w:rsidR="00FD7DB8" w:rsidRPr="00483155">
        <w:rPr>
          <w:rFonts w:cstheme="minorHAnsi"/>
          <w:b/>
          <w:bCs/>
          <w:i/>
          <w:iCs/>
          <w:sz w:val="24"/>
          <w:szCs w:val="24"/>
        </w:rPr>
        <w:t>.</w:t>
      </w:r>
      <w:r w:rsidRPr="00483155">
        <w:rPr>
          <w:rFonts w:cstheme="minorHAnsi"/>
          <w:b/>
          <w:bCs/>
          <w:i/>
          <w:iCs/>
          <w:sz w:val="24"/>
          <w:szCs w:val="24"/>
        </w:rPr>
        <w:t xml:space="preserve">, </w:t>
      </w:r>
      <w:r w:rsidR="00D65384" w:rsidRPr="00483155">
        <w:rPr>
          <w:rFonts w:cstheme="minorHAnsi"/>
          <w:b/>
          <w:bCs/>
          <w:i/>
          <w:iCs/>
          <w:sz w:val="24"/>
          <w:szCs w:val="24"/>
        </w:rPr>
        <w:t>înregistrată la Consiliul Concurenţei cu</w:t>
      </w:r>
      <w:r w:rsidR="00FC06F7" w:rsidRPr="00483155">
        <w:rPr>
          <w:rFonts w:cstheme="minorHAnsi"/>
          <w:b/>
          <w:bCs/>
          <w:i/>
          <w:iCs/>
          <w:sz w:val="24"/>
          <w:szCs w:val="24"/>
        </w:rPr>
        <w:t xml:space="preserve"> nr.</w:t>
      </w:r>
      <w:r w:rsidR="004741C2">
        <w:rPr>
          <w:rFonts w:cstheme="minorHAnsi"/>
          <w:b/>
          <w:bCs/>
          <w:i/>
          <w:iCs/>
          <w:sz w:val="24"/>
          <w:szCs w:val="24"/>
        </w:rPr>
        <w:t xml:space="preserve"> RG 345/13.01.2021</w:t>
      </w:r>
      <w:r w:rsidR="00D65384" w:rsidRPr="00483155">
        <w:rPr>
          <w:rFonts w:cstheme="minorHAnsi"/>
          <w:b/>
          <w:bCs/>
          <w:i/>
          <w:iCs/>
          <w:sz w:val="24"/>
          <w:szCs w:val="24"/>
        </w:rPr>
        <w:t xml:space="preserve">, </w:t>
      </w:r>
      <w:r w:rsidRPr="00483155">
        <w:rPr>
          <w:rFonts w:cstheme="minorHAnsi"/>
          <w:b/>
          <w:bCs/>
          <w:i/>
          <w:iCs/>
          <w:sz w:val="24"/>
          <w:szCs w:val="24"/>
        </w:rPr>
        <w:t xml:space="preserve">vă transmitem următoarele: </w:t>
      </w:r>
    </w:p>
    <w:p w14:paraId="40556CA0" w14:textId="37A5E601" w:rsidR="00FC06F7" w:rsidRPr="00483155" w:rsidRDefault="00FC06F7" w:rsidP="00FC06F7">
      <w:pPr>
        <w:jc w:val="both"/>
        <w:rPr>
          <w:rFonts w:cstheme="minorHAnsi"/>
          <w:sz w:val="24"/>
          <w:szCs w:val="24"/>
        </w:rPr>
      </w:pPr>
      <w:r w:rsidRPr="00483155">
        <w:rPr>
          <w:rFonts w:cstheme="minorHAnsi"/>
          <w:sz w:val="24"/>
          <w:szCs w:val="24"/>
        </w:rPr>
        <w:t xml:space="preserve">Sectorul </w:t>
      </w:r>
      <w:r w:rsidR="00483155">
        <w:rPr>
          <w:rFonts w:cstheme="minorHAnsi"/>
          <w:sz w:val="24"/>
          <w:szCs w:val="24"/>
        </w:rPr>
        <w:t>e</w:t>
      </w:r>
      <w:r w:rsidRPr="00483155">
        <w:rPr>
          <w:rFonts w:cstheme="minorHAnsi"/>
          <w:sz w:val="24"/>
          <w:szCs w:val="24"/>
        </w:rPr>
        <w:t>nergiei electrice și cel al gazelor naturale sunt domenii prioritare, pe care le monitorizăm cu atenție, mai ales în contextul liberalizării acestora.</w:t>
      </w:r>
    </w:p>
    <w:p w14:paraId="2835027B" w14:textId="72758DE6" w:rsidR="00FC06F7" w:rsidRPr="00483155" w:rsidRDefault="00FC06F7" w:rsidP="00FC06F7">
      <w:pPr>
        <w:jc w:val="both"/>
        <w:rPr>
          <w:rFonts w:cstheme="minorHAnsi"/>
          <w:sz w:val="24"/>
          <w:szCs w:val="24"/>
        </w:rPr>
      </w:pPr>
      <w:r w:rsidRPr="00483155">
        <w:rPr>
          <w:rFonts w:cstheme="minorHAnsi"/>
          <w:sz w:val="24"/>
          <w:szCs w:val="24"/>
        </w:rPr>
        <w:t xml:space="preserve">La ora actuală, colaborăm cu Ministerul Energiei și </w:t>
      </w:r>
      <w:r w:rsidR="00483155">
        <w:rPr>
          <w:rFonts w:cstheme="minorHAnsi"/>
          <w:sz w:val="24"/>
          <w:szCs w:val="24"/>
        </w:rPr>
        <w:t xml:space="preserve">cu </w:t>
      </w:r>
      <w:r w:rsidRPr="00483155">
        <w:rPr>
          <w:rFonts w:cstheme="minorHAnsi"/>
          <w:sz w:val="24"/>
          <w:szCs w:val="24"/>
        </w:rPr>
        <w:t xml:space="preserve">Autoritatea Națională de Reglementare în </w:t>
      </w:r>
      <w:r w:rsidR="00483155">
        <w:rPr>
          <w:rFonts w:cstheme="minorHAnsi"/>
          <w:sz w:val="24"/>
          <w:szCs w:val="24"/>
        </w:rPr>
        <w:t>d</w:t>
      </w:r>
      <w:r w:rsidRPr="00483155">
        <w:rPr>
          <w:rFonts w:cstheme="minorHAnsi"/>
          <w:sz w:val="24"/>
          <w:szCs w:val="24"/>
        </w:rPr>
        <w:t xml:space="preserve">omeniul Energiei </w:t>
      </w:r>
      <w:r w:rsidR="00483155">
        <w:rPr>
          <w:rFonts w:cstheme="minorHAnsi"/>
          <w:sz w:val="24"/>
          <w:szCs w:val="24"/>
        </w:rPr>
        <w:t xml:space="preserve">(ANRE) </w:t>
      </w:r>
      <w:r w:rsidRPr="00483155">
        <w:rPr>
          <w:rFonts w:cstheme="minorHAnsi"/>
          <w:sz w:val="24"/>
          <w:szCs w:val="24"/>
        </w:rPr>
        <w:t xml:space="preserve">pentru ne asigura că trecerea de la piața reglementată la cea concurențială nu va dezavantaja consumatorii casnici. </w:t>
      </w:r>
    </w:p>
    <w:p w14:paraId="14ACDFAF" w14:textId="77777777" w:rsidR="00FC06F7" w:rsidRPr="00483155" w:rsidRDefault="00FC06F7" w:rsidP="00FC06F7">
      <w:pPr>
        <w:jc w:val="both"/>
        <w:rPr>
          <w:rFonts w:cstheme="minorHAnsi"/>
          <w:sz w:val="24"/>
          <w:szCs w:val="24"/>
        </w:rPr>
      </w:pPr>
      <w:r w:rsidRPr="00483155">
        <w:rPr>
          <w:rFonts w:cstheme="minorHAnsi"/>
          <w:sz w:val="24"/>
          <w:szCs w:val="24"/>
        </w:rPr>
        <w:t xml:space="preserve">În același timp, un aspect important îl reprezintă </w:t>
      </w:r>
      <w:r w:rsidRPr="00D622A0">
        <w:rPr>
          <w:rFonts w:cstheme="minorHAnsi"/>
          <w:bCs/>
          <w:sz w:val="24"/>
          <w:szCs w:val="24"/>
        </w:rPr>
        <w:t>informarea consumatorilor asupra liberalizării pieței,</w:t>
      </w:r>
      <w:r w:rsidRPr="00483155">
        <w:rPr>
          <w:rFonts w:cstheme="minorHAnsi"/>
          <w:sz w:val="24"/>
          <w:szCs w:val="24"/>
        </w:rPr>
        <w:t xml:space="preserve"> asupra modului în care pot profita de aceasta și asupra opțiunilor pe care le au. Un pas foarte important a fost făcut prin comparatorul de tarife creat de ANRE.</w:t>
      </w:r>
    </w:p>
    <w:p w14:paraId="470DFC7D" w14:textId="27761693" w:rsidR="00FC06F7" w:rsidRPr="00483155" w:rsidRDefault="00FC06F7" w:rsidP="00FC06F7">
      <w:pPr>
        <w:spacing w:before="120" w:after="0" w:line="276" w:lineRule="auto"/>
        <w:jc w:val="both"/>
        <w:rPr>
          <w:rFonts w:cstheme="minorHAnsi"/>
          <w:sz w:val="24"/>
          <w:szCs w:val="24"/>
        </w:rPr>
      </w:pPr>
      <w:r w:rsidRPr="00483155">
        <w:rPr>
          <w:rFonts w:cstheme="minorHAnsi"/>
          <w:sz w:val="24"/>
          <w:szCs w:val="24"/>
        </w:rPr>
        <w:t>Va amintiți că</w:t>
      </w:r>
      <w:r w:rsidR="00483155">
        <w:rPr>
          <w:rFonts w:cstheme="minorHAnsi"/>
          <w:sz w:val="24"/>
          <w:szCs w:val="24"/>
        </w:rPr>
        <w:t>,</w:t>
      </w:r>
      <w:r w:rsidRPr="00483155">
        <w:rPr>
          <w:rFonts w:cstheme="minorHAnsi"/>
          <w:sz w:val="24"/>
          <w:szCs w:val="24"/>
        </w:rPr>
        <w:t xml:space="preserve"> în iulie, când s-a liberalizat activitatea de furnizare a gazelor naturale pentru clienții casnici, am atras atenția că se pot plăti facturi mai mici cu până la 150 lei/lună de iarnă dacă consumatorii casnici schimbă furnizorul sau contractul. </w:t>
      </w:r>
    </w:p>
    <w:p w14:paraId="7E9C1EEC" w14:textId="02C674CD" w:rsidR="00FC06F7" w:rsidRPr="00483155" w:rsidRDefault="00FC06F7" w:rsidP="00FC06F7">
      <w:pPr>
        <w:spacing w:before="120" w:after="0" w:line="276" w:lineRule="auto"/>
        <w:jc w:val="both"/>
        <w:rPr>
          <w:rFonts w:cstheme="minorHAnsi"/>
          <w:color w:val="050505"/>
          <w:sz w:val="24"/>
          <w:szCs w:val="24"/>
          <w:shd w:val="clear" w:color="auto" w:fill="FFFFFF"/>
        </w:rPr>
      </w:pPr>
      <w:r w:rsidRPr="00483155">
        <w:rPr>
          <w:rFonts w:cstheme="minorHAnsi"/>
          <w:sz w:val="24"/>
          <w:szCs w:val="24"/>
        </w:rPr>
        <w:t>Similar este și pe piața energiei electrice: c</w:t>
      </w:r>
      <w:r w:rsidRPr="00483155">
        <w:rPr>
          <w:rFonts w:cstheme="minorHAnsi"/>
          <w:color w:val="050505"/>
          <w:sz w:val="24"/>
          <w:szCs w:val="24"/>
          <w:shd w:val="clear" w:color="auto" w:fill="FFFFFF"/>
        </w:rPr>
        <w:t xml:space="preserve">onsumatorii trebuie să se informeze, să compare prețurile și condițiile contractuale </w:t>
      </w:r>
      <w:r w:rsidR="00483155">
        <w:rPr>
          <w:rFonts w:cstheme="minorHAnsi"/>
          <w:color w:val="050505"/>
          <w:sz w:val="24"/>
          <w:szCs w:val="24"/>
          <w:shd w:val="clear" w:color="auto" w:fill="FFFFFF"/>
        </w:rPr>
        <w:t xml:space="preserve">ale </w:t>
      </w:r>
      <w:r w:rsidRPr="00483155">
        <w:rPr>
          <w:rFonts w:cstheme="minorHAnsi"/>
          <w:color w:val="050505"/>
          <w:sz w:val="24"/>
          <w:szCs w:val="24"/>
          <w:shd w:val="clear" w:color="auto" w:fill="FFFFFF"/>
        </w:rPr>
        <w:t>ofertelor concurențiale și să aleagă oferta pe care o consideră a fi cea mai bună.</w:t>
      </w:r>
    </w:p>
    <w:p w14:paraId="465B49EE" w14:textId="22D1B315" w:rsidR="00FC06F7" w:rsidRPr="00483155" w:rsidRDefault="00FC06F7" w:rsidP="00FC06F7">
      <w:pPr>
        <w:spacing w:before="120" w:after="0" w:line="276" w:lineRule="auto"/>
        <w:jc w:val="both"/>
        <w:rPr>
          <w:color w:val="333333"/>
          <w:sz w:val="24"/>
          <w:szCs w:val="24"/>
        </w:rPr>
      </w:pPr>
      <w:r w:rsidRPr="00483155">
        <w:rPr>
          <w:rFonts w:cstheme="minorHAnsi"/>
          <w:color w:val="050505"/>
          <w:sz w:val="24"/>
          <w:szCs w:val="24"/>
          <w:shd w:val="clear" w:color="auto" w:fill="FFFFFF"/>
        </w:rPr>
        <w:t xml:space="preserve">Știm că nu este simplu, este o procedură nouă, și de aceea </w:t>
      </w:r>
      <w:r w:rsidRPr="00483155">
        <w:rPr>
          <w:color w:val="333333"/>
          <w:sz w:val="24"/>
          <w:szCs w:val="24"/>
        </w:rPr>
        <w:t>statul – prin instituțiile din domeniu – caută soluții pentru a proteja consumatorii de eventualele excese.</w:t>
      </w:r>
    </w:p>
    <w:p w14:paraId="37301597" w14:textId="2662D094" w:rsidR="00FC06F7" w:rsidRPr="00483155" w:rsidRDefault="00FC06F7" w:rsidP="00FC06F7">
      <w:pPr>
        <w:spacing w:before="120" w:after="0" w:line="276" w:lineRule="auto"/>
        <w:jc w:val="both"/>
        <w:rPr>
          <w:rFonts w:cstheme="minorHAnsi"/>
          <w:sz w:val="24"/>
          <w:szCs w:val="24"/>
        </w:rPr>
      </w:pPr>
      <w:r w:rsidRPr="00483155">
        <w:rPr>
          <w:rFonts w:cstheme="minorHAnsi"/>
          <w:sz w:val="24"/>
          <w:szCs w:val="24"/>
        </w:rPr>
        <w:t>Noi vom continua acțiunile de monitorizare a piețelor de energie electrică și gaze naturale și în perioada următoare și vom interveni prin utilizarea tuturor instrumentelor legale pe care le avem la dispoziție, în principal</w:t>
      </w:r>
      <w:r w:rsidR="00483155">
        <w:rPr>
          <w:rFonts w:cstheme="minorHAnsi"/>
          <w:sz w:val="24"/>
          <w:szCs w:val="24"/>
        </w:rPr>
        <w:t>,</w:t>
      </w:r>
      <w:r w:rsidRPr="00483155">
        <w:rPr>
          <w:rFonts w:cstheme="minorHAnsi"/>
          <w:sz w:val="24"/>
          <w:szCs w:val="24"/>
        </w:rPr>
        <w:t xml:space="preserve"> prin investigarea cazurilor de abuz de poziție dominantă și a înțelegerilor anticoncurențiale.</w:t>
      </w:r>
    </w:p>
    <w:p w14:paraId="4AB90B6F" w14:textId="77777777" w:rsidR="00FC06F7" w:rsidRPr="00483155" w:rsidRDefault="00FC06F7" w:rsidP="00FC06F7">
      <w:pPr>
        <w:spacing w:before="120" w:after="0" w:line="276" w:lineRule="auto"/>
        <w:jc w:val="both"/>
        <w:rPr>
          <w:rFonts w:cstheme="minorHAnsi"/>
          <w:sz w:val="24"/>
          <w:szCs w:val="24"/>
        </w:rPr>
      </w:pPr>
      <w:r w:rsidRPr="00483155">
        <w:rPr>
          <w:rFonts w:cstheme="minorHAnsi"/>
          <w:sz w:val="24"/>
          <w:szCs w:val="24"/>
        </w:rPr>
        <w:t>De asemenea, vom continua colaborarea cu ANRE și cu Autoritatea Națională pentru Protecția Consumatorilor, pentru a preîntâmpina eventualele comportamente incorecte ale furnizorilor de energie electrică.</w:t>
      </w:r>
    </w:p>
    <w:p w14:paraId="54BBF35B" w14:textId="54024D0B" w:rsidR="00FC06F7" w:rsidRDefault="00FC06F7" w:rsidP="00FC06F7">
      <w:pPr>
        <w:spacing w:before="120" w:after="120" w:line="276" w:lineRule="auto"/>
        <w:jc w:val="both"/>
        <w:rPr>
          <w:rFonts w:cstheme="minorHAnsi"/>
          <w:sz w:val="24"/>
          <w:szCs w:val="24"/>
        </w:rPr>
      </w:pPr>
      <w:r w:rsidRPr="00483155">
        <w:rPr>
          <w:rFonts w:cstheme="minorHAnsi"/>
          <w:sz w:val="24"/>
          <w:szCs w:val="24"/>
        </w:rPr>
        <w:t xml:space="preserve">De altfel, în ultimii ani, am derulat o serie de investigații și analize atât în domeniul energiei electrice, cât și al gazelor naturale, iar rezultatele și recomandările sunt prezentate pe pagina de Internet a autorității, </w:t>
      </w:r>
      <w:hyperlink r:id="rId7" w:history="1">
        <w:r w:rsidRPr="00483155">
          <w:rPr>
            <w:rStyle w:val="Hyperlink"/>
            <w:rFonts w:cstheme="minorHAnsi"/>
            <w:sz w:val="24"/>
            <w:szCs w:val="24"/>
          </w:rPr>
          <w:t>www.consiliulconcurenței.ro</w:t>
        </w:r>
      </w:hyperlink>
      <w:r w:rsidRPr="00483155">
        <w:rPr>
          <w:rFonts w:cstheme="minorHAnsi"/>
          <w:sz w:val="24"/>
          <w:szCs w:val="24"/>
        </w:rPr>
        <w:t>.</w:t>
      </w:r>
    </w:p>
    <w:p w14:paraId="4973DA13" w14:textId="3ED0315B" w:rsidR="00FC06F7" w:rsidRPr="00483155" w:rsidRDefault="00FC06F7" w:rsidP="00FC06F7">
      <w:pPr>
        <w:spacing w:before="120" w:after="120" w:line="276" w:lineRule="auto"/>
        <w:jc w:val="both"/>
        <w:rPr>
          <w:rFonts w:cstheme="minorHAnsi"/>
          <w:sz w:val="24"/>
          <w:szCs w:val="24"/>
        </w:rPr>
      </w:pPr>
      <w:r w:rsidRPr="00483155">
        <w:rPr>
          <w:rFonts w:cstheme="minorHAnsi"/>
          <w:sz w:val="24"/>
          <w:szCs w:val="24"/>
        </w:rPr>
        <w:t>Dintre acestea</w:t>
      </w:r>
      <w:r w:rsidR="00C36817">
        <w:rPr>
          <w:rFonts w:cstheme="minorHAnsi"/>
          <w:sz w:val="24"/>
          <w:szCs w:val="24"/>
        </w:rPr>
        <w:t>,</w:t>
      </w:r>
      <w:r w:rsidRPr="00483155">
        <w:rPr>
          <w:rFonts w:cstheme="minorHAnsi"/>
          <w:sz w:val="24"/>
          <w:szCs w:val="24"/>
        </w:rPr>
        <w:t xml:space="preserve"> menționăm: </w:t>
      </w:r>
    </w:p>
    <w:p w14:paraId="7C81F9F1" w14:textId="61CFF04A" w:rsidR="00FC06F7" w:rsidRPr="00483155" w:rsidRDefault="00FC06F7" w:rsidP="00FC06F7">
      <w:pPr>
        <w:pStyle w:val="ListParagraph"/>
        <w:numPr>
          <w:ilvl w:val="0"/>
          <w:numId w:val="12"/>
        </w:numPr>
        <w:spacing w:before="120" w:after="120" w:line="276" w:lineRule="auto"/>
        <w:ind w:left="426" w:right="-142" w:hanging="426"/>
        <w:jc w:val="both"/>
        <w:rPr>
          <w:rFonts w:cstheme="minorHAnsi"/>
          <w:bCs/>
          <w:sz w:val="24"/>
          <w:szCs w:val="24"/>
        </w:rPr>
      </w:pPr>
      <w:r w:rsidRPr="00483155">
        <w:rPr>
          <w:rFonts w:cstheme="minorHAnsi"/>
          <w:bCs/>
          <w:sz w:val="24"/>
          <w:szCs w:val="24"/>
        </w:rPr>
        <w:t xml:space="preserve">Investigația privind </w:t>
      </w:r>
      <w:r w:rsidRPr="00483155">
        <w:rPr>
          <w:rFonts w:cstheme="minorHAnsi"/>
          <w:sz w:val="24"/>
          <w:szCs w:val="24"/>
        </w:rPr>
        <w:t xml:space="preserve">un posibil abuz de poziție dominantă al </w:t>
      </w:r>
      <w:r w:rsidRPr="00483155">
        <w:rPr>
          <w:rFonts w:cstheme="minorHAnsi"/>
          <w:b/>
          <w:bCs/>
          <w:sz w:val="24"/>
          <w:szCs w:val="24"/>
        </w:rPr>
        <w:t>Hidroelectrica</w:t>
      </w:r>
      <w:r w:rsidRPr="00483155">
        <w:rPr>
          <w:rFonts w:cstheme="minorHAnsi"/>
          <w:sz w:val="24"/>
          <w:szCs w:val="24"/>
        </w:rPr>
        <w:t xml:space="preserve"> pe piața producției și comercializării energiei electrice</w:t>
      </w:r>
      <w:r w:rsidR="00C36817">
        <w:rPr>
          <w:rFonts w:cstheme="minorHAnsi"/>
          <w:sz w:val="24"/>
          <w:szCs w:val="24"/>
        </w:rPr>
        <w:t>:</w:t>
      </w:r>
    </w:p>
    <w:p w14:paraId="215E9A19" w14:textId="0142218D" w:rsidR="00FC06F7" w:rsidRPr="00483155" w:rsidRDefault="00FC06F7" w:rsidP="00FC06F7">
      <w:pPr>
        <w:pStyle w:val="ListParagraph"/>
        <w:numPr>
          <w:ilvl w:val="0"/>
          <w:numId w:val="13"/>
        </w:numPr>
        <w:spacing w:before="120" w:after="120" w:line="276" w:lineRule="auto"/>
        <w:ind w:right="-136"/>
        <w:jc w:val="both"/>
        <w:rPr>
          <w:rFonts w:cstheme="minorHAnsi"/>
          <w:sz w:val="24"/>
          <w:szCs w:val="24"/>
        </w:rPr>
      </w:pPr>
      <w:r w:rsidRPr="00483155">
        <w:rPr>
          <w:rFonts w:cstheme="minorHAnsi"/>
          <w:sz w:val="24"/>
          <w:szCs w:val="24"/>
        </w:rPr>
        <w:t xml:space="preserve">Compania a propus un set de măsuri, care se află în consultare publică, pentru a elimina îngrijorările de natură concurențială care au condus la declanșarea investigației și care </w:t>
      </w:r>
      <w:r w:rsidRPr="00483155">
        <w:rPr>
          <w:rFonts w:cstheme="minorHAnsi"/>
          <w:sz w:val="24"/>
          <w:szCs w:val="24"/>
        </w:rPr>
        <w:lastRenderedPageBreak/>
        <w:t xml:space="preserve">vizează modul în care </w:t>
      </w:r>
      <w:r w:rsidR="00483155">
        <w:rPr>
          <w:rFonts w:cstheme="minorHAnsi"/>
          <w:sz w:val="24"/>
          <w:szCs w:val="24"/>
        </w:rPr>
        <w:t xml:space="preserve">compania </w:t>
      </w:r>
      <w:r w:rsidRPr="00483155">
        <w:rPr>
          <w:rFonts w:cstheme="minorHAnsi"/>
          <w:sz w:val="24"/>
          <w:szCs w:val="24"/>
        </w:rPr>
        <w:t>va comercializa energia produsă pe Piața pentru Ziua Următoare (PZU) și pe Piața de Echilibrare (PE).</w:t>
      </w:r>
    </w:p>
    <w:p w14:paraId="454A7B30" w14:textId="610DC974" w:rsidR="00FC06F7" w:rsidRPr="00483155" w:rsidRDefault="00483155" w:rsidP="00FC06F7">
      <w:pPr>
        <w:pStyle w:val="ListParagraph"/>
        <w:numPr>
          <w:ilvl w:val="0"/>
          <w:numId w:val="13"/>
        </w:numPr>
        <w:spacing w:before="120" w:after="120" w:line="276" w:lineRule="auto"/>
        <w:ind w:right="-138"/>
        <w:jc w:val="both"/>
        <w:rPr>
          <w:rFonts w:cstheme="minorHAnsi"/>
          <w:sz w:val="24"/>
          <w:szCs w:val="24"/>
        </w:rPr>
      </w:pPr>
      <w:r>
        <w:rPr>
          <w:rFonts w:cstheme="minorHAnsi"/>
          <w:sz w:val="24"/>
          <w:szCs w:val="24"/>
        </w:rPr>
        <w:t>C</w:t>
      </w:r>
      <w:r w:rsidR="00FC06F7" w:rsidRPr="00483155">
        <w:rPr>
          <w:rFonts w:cstheme="minorHAnsi"/>
          <w:sz w:val="24"/>
          <w:szCs w:val="24"/>
        </w:rPr>
        <w:t xml:space="preserve">ompania se angajează să ofere la vânzare pe PZU o cantitate de energie electrică la un preț maxim determinat pe baza prețului prevăzut în cadrul contractelor la termen. De asemenea, Hidroelectrica SA se obligă să nu depășească un anumit nivel al prețului energiei electrice ofertate la creștere de putere pe PE. </w:t>
      </w:r>
    </w:p>
    <w:p w14:paraId="5564AC90" w14:textId="144626F0" w:rsidR="00FC06F7" w:rsidRDefault="00FC06F7" w:rsidP="00FC06F7">
      <w:pPr>
        <w:pStyle w:val="ListParagraph"/>
        <w:numPr>
          <w:ilvl w:val="0"/>
          <w:numId w:val="13"/>
        </w:numPr>
        <w:spacing w:before="120" w:after="120" w:line="276" w:lineRule="auto"/>
        <w:ind w:right="-138"/>
        <w:jc w:val="both"/>
        <w:rPr>
          <w:rFonts w:cstheme="minorHAnsi"/>
          <w:sz w:val="24"/>
          <w:szCs w:val="24"/>
        </w:rPr>
      </w:pPr>
      <w:r w:rsidRPr="00483155">
        <w:rPr>
          <w:rFonts w:cstheme="minorHAnsi"/>
          <w:sz w:val="24"/>
          <w:szCs w:val="24"/>
        </w:rPr>
        <w:t>Implementarea acestui set de măsuri va conduce la beneficii directe și imediate pentru toți participanții pe piețele de energie electrică, fiind de natură a conduce la creșterea cantităților tranzacționate de către companie pe piețele spot și la diminuarea cantităților de energie reprezentând dezechilibrele generate în SEN care pot afecta negativ consumatorii, prin creșterea prețului energiei electrice.</w:t>
      </w:r>
    </w:p>
    <w:p w14:paraId="625071EB" w14:textId="53CB4319" w:rsidR="00C36817" w:rsidRPr="004741C2" w:rsidRDefault="00C36817" w:rsidP="004741C2">
      <w:pPr>
        <w:pStyle w:val="ListParagraph"/>
        <w:numPr>
          <w:ilvl w:val="0"/>
          <w:numId w:val="13"/>
        </w:numPr>
        <w:tabs>
          <w:tab w:val="left" w:pos="709"/>
          <w:tab w:val="left" w:pos="5670"/>
        </w:tabs>
        <w:spacing w:before="120" w:after="120" w:line="276" w:lineRule="auto"/>
        <w:ind w:right="-138"/>
        <w:jc w:val="both"/>
        <w:rPr>
          <w:rFonts w:cstheme="minorHAnsi"/>
          <w:sz w:val="24"/>
          <w:szCs w:val="24"/>
        </w:rPr>
      </w:pPr>
      <w:r w:rsidRPr="00B21B86">
        <w:rPr>
          <w:rFonts w:cstheme="minorHAnsi"/>
          <w:sz w:val="24"/>
          <w:szCs w:val="24"/>
        </w:rPr>
        <w:t>Aceasta este a 2-a investigație în care este implicată Hidroelectrica, după cea în care a fost sancționată împreună cu 10 parteneri contractuali (în principal traderi de energie), cu amenzi în valoare totală de 165.843.604 lei (aprox. 37 milioane euro), pentru încheierea unor înţelegeri anticoncurenţiale pe piaţa producerii şi comercializării</w:t>
      </w:r>
      <w:r w:rsidRPr="00483155">
        <w:rPr>
          <w:rFonts w:asciiTheme="minorHAnsi" w:hAnsiTheme="minorHAnsi" w:cstheme="minorHAnsi"/>
          <w:sz w:val="24"/>
          <w:szCs w:val="24"/>
        </w:rPr>
        <w:t xml:space="preserve"> de energie electrică: ALPIQ ROMINDUSTRIES SRL, ALPIQ ROMENERGIE SRL, ALRO SA, ELECTROCARBON SA, ELECTROMAGNETICA SA, ELSID SA, ENERGY FINANCING TEAM AG (SWITZERLAND), ENERGY HOLDING SRL, LUXTEN LIGHTING COMPANY SA, MENAROM-P.E.C. SA (succesor EURO-P.E.C. SA). În acest caz,</w:t>
      </w:r>
      <w:r>
        <w:rPr>
          <w:rFonts w:asciiTheme="minorHAnsi" w:hAnsiTheme="minorHAnsi" w:cstheme="minorHAnsi"/>
          <w:sz w:val="24"/>
          <w:szCs w:val="24"/>
        </w:rPr>
        <w:t xml:space="preserve"> </w:t>
      </w:r>
      <w:r w:rsidRPr="00B21B86">
        <w:rPr>
          <w:rFonts w:eastAsia="Calibri" w:cstheme="minorHAnsi"/>
          <w:color w:val="000000"/>
          <w:sz w:val="24"/>
          <w:szCs w:val="24"/>
        </w:rPr>
        <w:t xml:space="preserve">Hidroelectrica SA, Elsid SA şi Electrocarbon SA au recunoscut </w:t>
      </w:r>
      <w:r w:rsidRPr="00B21B86">
        <w:rPr>
          <w:rFonts w:cstheme="minorHAnsi"/>
          <w:sz w:val="24"/>
          <w:szCs w:val="24"/>
        </w:rPr>
        <w:t>săvârşirea faptelor anticoncurenţiale</w:t>
      </w:r>
      <w:r>
        <w:rPr>
          <w:rFonts w:cstheme="minorHAnsi"/>
          <w:sz w:val="24"/>
          <w:szCs w:val="24"/>
        </w:rPr>
        <w:t>.</w:t>
      </w:r>
      <w:r w:rsidRPr="00B21B86">
        <w:rPr>
          <w:rFonts w:cstheme="minorHAnsi"/>
          <w:sz w:val="24"/>
          <w:szCs w:val="24"/>
        </w:rPr>
        <w:t xml:space="preserve"> </w:t>
      </w:r>
    </w:p>
    <w:p w14:paraId="33A401E2" w14:textId="578DFF0F" w:rsidR="00FC06F7" w:rsidRPr="00483155" w:rsidRDefault="00FC06F7" w:rsidP="00FC06F7">
      <w:pPr>
        <w:pStyle w:val="ListParagraph"/>
        <w:numPr>
          <w:ilvl w:val="0"/>
          <w:numId w:val="14"/>
        </w:numPr>
        <w:tabs>
          <w:tab w:val="left" w:pos="426"/>
          <w:tab w:val="left" w:pos="3690"/>
        </w:tabs>
        <w:spacing w:before="120" w:after="120" w:line="276" w:lineRule="auto"/>
        <w:ind w:left="426" w:hanging="426"/>
        <w:jc w:val="both"/>
        <w:rPr>
          <w:rFonts w:cstheme="minorHAnsi"/>
          <w:sz w:val="24"/>
          <w:szCs w:val="24"/>
        </w:rPr>
      </w:pPr>
      <w:r w:rsidRPr="00483155">
        <w:rPr>
          <w:rFonts w:eastAsia="Calibri" w:cstheme="minorHAnsi"/>
          <w:sz w:val="24"/>
          <w:szCs w:val="24"/>
        </w:rPr>
        <w:t xml:space="preserve">Companiile </w:t>
      </w:r>
      <w:r w:rsidRPr="00483155">
        <w:rPr>
          <w:rFonts w:asciiTheme="minorHAnsi" w:eastAsia="Calibri" w:hAnsiTheme="minorHAnsi" w:cstheme="minorHAnsi"/>
          <w:b/>
          <w:bCs/>
          <w:sz w:val="24"/>
          <w:szCs w:val="24"/>
        </w:rPr>
        <w:t>S.E. ELECTRICA</w:t>
      </w:r>
      <w:r w:rsidRPr="00483155">
        <w:rPr>
          <w:rFonts w:asciiTheme="minorHAnsi" w:eastAsia="Calibri" w:hAnsiTheme="minorHAnsi" w:cstheme="minorHAnsi"/>
          <w:sz w:val="24"/>
          <w:szCs w:val="24"/>
        </w:rPr>
        <w:t xml:space="preserve"> S.A, ECRO S.R.L., ELECTROMAGNETICA S.A., ELSTER ROMETRICS S.R.L., ENERGOBIT S.A., LANDIS+GYR AG</w:t>
      </w:r>
      <w:r w:rsidRPr="00483155">
        <w:rPr>
          <w:rFonts w:eastAsia="Calibri" w:cstheme="minorHAnsi"/>
          <w:sz w:val="24"/>
          <w:szCs w:val="24"/>
        </w:rPr>
        <w:t xml:space="preserve"> au fost sancționate cu amenzi în valoare totală de 73.100.870,37 lei (aproximativ 15,8 mil euro) pentru încheierea </w:t>
      </w:r>
      <w:r w:rsidRPr="00483155">
        <w:rPr>
          <w:rFonts w:eastAsia="Calibri" w:cstheme="minorHAnsi"/>
          <w:b/>
          <w:bCs/>
          <w:sz w:val="24"/>
          <w:szCs w:val="24"/>
        </w:rPr>
        <w:t xml:space="preserve">a două înţelegeri anticoncurenţiale </w:t>
      </w:r>
      <w:r w:rsidRPr="00483155">
        <w:rPr>
          <w:rFonts w:eastAsia="Calibri" w:cstheme="minorHAnsi"/>
          <w:sz w:val="24"/>
          <w:szCs w:val="24"/>
        </w:rPr>
        <w:t>pe piaţa comercializării contoarelor şi echipamentelor conexe pentru măsurarea energiei electrice</w:t>
      </w:r>
      <w:r w:rsidR="00C36817">
        <w:rPr>
          <w:rFonts w:eastAsia="Calibri" w:cstheme="minorHAnsi"/>
          <w:sz w:val="24"/>
          <w:szCs w:val="24"/>
        </w:rPr>
        <w:t>:</w:t>
      </w:r>
    </w:p>
    <w:p w14:paraId="35E8FF23" w14:textId="7D7ECAAC" w:rsidR="00FC06F7" w:rsidRPr="00483155" w:rsidRDefault="00FC06F7" w:rsidP="00FC06F7">
      <w:pPr>
        <w:pStyle w:val="ListParagraph"/>
        <w:numPr>
          <w:ilvl w:val="1"/>
          <w:numId w:val="14"/>
        </w:numPr>
        <w:tabs>
          <w:tab w:val="left" w:pos="810"/>
          <w:tab w:val="left" w:pos="3690"/>
        </w:tabs>
        <w:spacing w:before="120" w:after="120" w:line="276" w:lineRule="auto"/>
        <w:ind w:left="709" w:hanging="283"/>
        <w:jc w:val="both"/>
        <w:rPr>
          <w:rFonts w:cstheme="minorHAnsi"/>
          <w:sz w:val="24"/>
          <w:szCs w:val="24"/>
        </w:rPr>
      </w:pPr>
      <w:r w:rsidRPr="00483155">
        <w:rPr>
          <w:rFonts w:eastAsia="Calibri" w:cstheme="minorHAnsi"/>
          <w:sz w:val="24"/>
          <w:szCs w:val="24"/>
        </w:rPr>
        <w:t xml:space="preserve">Efectele înţelegerilor anticoncurenţiale au condus </w:t>
      </w:r>
      <w:r w:rsidRPr="00483155">
        <w:rPr>
          <w:rFonts w:eastAsia="Calibri" w:cstheme="minorHAnsi"/>
          <w:sz w:val="24"/>
          <w:szCs w:val="24"/>
          <w:shd w:val="clear" w:color="auto" w:fill="FFFFFF"/>
        </w:rPr>
        <w:t>la cresterea artificială a pre</w:t>
      </w:r>
      <w:r w:rsidR="00483155">
        <w:rPr>
          <w:rFonts w:eastAsia="Calibri" w:cstheme="minorHAnsi"/>
          <w:sz w:val="24"/>
          <w:szCs w:val="24"/>
          <w:shd w:val="clear" w:color="auto" w:fill="FFFFFF"/>
        </w:rPr>
        <w:t>ț</w:t>
      </w:r>
      <w:r w:rsidRPr="00483155">
        <w:rPr>
          <w:rFonts w:eastAsia="Calibri" w:cstheme="minorHAnsi"/>
          <w:sz w:val="24"/>
          <w:szCs w:val="24"/>
          <w:shd w:val="clear" w:color="auto" w:fill="FFFFFF"/>
        </w:rPr>
        <w:t>urilor de achiziție pentru respectivele echipamente</w:t>
      </w:r>
      <w:r w:rsidRPr="00483155">
        <w:rPr>
          <w:rFonts w:eastAsia="Calibri" w:cstheme="minorHAnsi"/>
          <w:b/>
          <w:sz w:val="24"/>
          <w:szCs w:val="24"/>
          <w:shd w:val="clear" w:color="auto" w:fill="FFFFFF"/>
        </w:rPr>
        <w:t xml:space="preserve">, costurile suplimentare fiind translatate </w:t>
      </w:r>
      <w:r w:rsidRPr="00483155">
        <w:rPr>
          <w:rFonts w:eastAsia="Calibri" w:cstheme="minorHAnsi"/>
          <w:b/>
          <w:sz w:val="24"/>
          <w:szCs w:val="24"/>
        </w:rPr>
        <w:t>către consumatorii finali care plăteau facturi mai mari pentru energia electrică</w:t>
      </w:r>
      <w:r w:rsidR="00C36817">
        <w:rPr>
          <w:rFonts w:eastAsia="Calibri" w:cstheme="minorHAnsi"/>
          <w:b/>
          <w:sz w:val="24"/>
          <w:szCs w:val="24"/>
        </w:rPr>
        <w:t>.</w:t>
      </w:r>
    </w:p>
    <w:p w14:paraId="4690B8DB" w14:textId="04321BBA" w:rsidR="00FC06F7" w:rsidRPr="00483155" w:rsidRDefault="00C36817" w:rsidP="00FC06F7">
      <w:pPr>
        <w:pStyle w:val="ListParagraph"/>
        <w:numPr>
          <w:ilvl w:val="0"/>
          <w:numId w:val="12"/>
        </w:numPr>
        <w:spacing w:before="120" w:after="120" w:line="276" w:lineRule="auto"/>
        <w:ind w:left="284" w:right="-138" w:hanging="284"/>
        <w:jc w:val="both"/>
        <w:rPr>
          <w:rFonts w:cstheme="minorHAnsi"/>
          <w:sz w:val="24"/>
          <w:szCs w:val="24"/>
        </w:rPr>
      </w:pPr>
      <w:r>
        <w:rPr>
          <w:rFonts w:cstheme="minorHAnsi"/>
          <w:sz w:val="24"/>
          <w:szCs w:val="24"/>
        </w:rPr>
        <w:t>I</w:t>
      </w:r>
      <w:r w:rsidR="00FC06F7" w:rsidRPr="00483155">
        <w:rPr>
          <w:rFonts w:cstheme="minorHAnsi"/>
          <w:sz w:val="24"/>
          <w:szCs w:val="24"/>
        </w:rPr>
        <w:t xml:space="preserve">nvestigația privind un posibil abuz de poziție dominantă al </w:t>
      </w:r>
      <w:r w:rsidR="00FC06F7" w:rsidRPr="00483155">
        <w:rPr>
          <w:rFonts w:cstheme="minorHAnsi"/>
          <w:b/>
          <w:bCs/>
          <w:sz w:val="24"/>
          <w:szCs w:val="24"/>
        </w:rPr>
        <w:t>E-Distribuție Muntenia SA</w:t>
      </w:r>
      <w:r w:rsidR="00FC06F7" w:rsidRPr="00483155">
        <w:rPr>
          <w:rFonts w:cstheme="minorHAnsi"/>
          <w:sz w:val="24"/>
          <w:szCs w:val="24"/>
        </w:rPr>
        <w:t xml:space="preserve"> (EDM) </w:t>
      </w:r>
      <w:r w:rsidR="00FC06F7" w:rsidRPr="00483155">
        <w:rPr>
          <w:rFonts w:cstheme="minorHAnsi"/>
          <w:bCs/>
          <w:sz w:val="24"/>
          <w:szCs w:val="24"/>
        </w:rPr>
        <w:t>pe piața distribuției de energie</w:t>
      </w:r>
      <w:r>
        <w:rPr>
          <w:rFonts w:cstheme="minorHAnsi"/>
          <w:bCs/>
          <w:sz w:val="24"/>
          <w:szCs w:val="24"/>
        </w:rPr>
        <w:t>:</w:t>
      </w:r>
    </w:p>
    <w:p w14:paraId="39108CEA" w14:textId="115E7023" w:rsidR="00FC06F7" w:rsidRPr="00483155" w:rsidRDefault="00C36817" w:rsidP="00FC06F7">
      <w:pPr>
        <w:pStyle w:val="ListParagraph"/>
        <w:numPr>
          <w:ilvl w:val="0"/>
          <w:numId w:val="15"/>
        </w:numPr>
        <w:spacing w:before="120" w:after="120" w:line="276" w:lineRule="auto"/>
        <w:ind w:right="-142"/>
        <w:jc w:val="both"/>
        <w:rPr>
          <w:rFonts w:asciiTheme="minorHAnsi" w:hAnsiTheme="minorHAnsi" w:cstheme="minorHAnsi"/>
          <w:bCs/>
          <w:sz w:val="24"/>
          <w:szCs w:val="24"/>
        </w:rPr>
      </w:pPr>
      <w:r>
        <w:rPr>
          <w:rFonts w:asciiTheme="minorHAnsi" w:hAnsiTheme="minorHAnsi" w:cstheme="minorHAnsi"/>
          <w:sz w:val="24"/>
          <w:szCs w:val="24"/>
        </w:rPr>
        <w:t>Î</w:t>
      </w:r>
      <w:r w:rsidR="00FC06F7" w:rsidRPr="00483155">
        <w:rPr>
          <w:rFonts w:asciiTheme="minorHAnsi" w:hAnsiTheme="minorHAnsi" w:cstheme="minorHAnsi"/>
          <w:sz w:val="24"/>
          <w:szCs w:val="24"/>
        </w:rPr>
        <w:t>n urma implementării angajamentelor asumate de companie în contextul investigației, durata medie de obținere a avizelor tehnice de racordare (ATR) emise de</w:t>
      </w:r>
      <w:r w:rsidR="00FC06F7" w:rsidRPr="004741C2">
        <w:rPr>
          <w:rFonts w:asciiTheme="minorHAnsi" w:hAnsiTheme="minorHAnsi" w:cstheme="minorHAnsi"/>
          <w:b/>
          <w:bCs/>
          <w:sz w:val="24"/>
          <w:szCs w:val="24"/>
        </w:rPr>
        <w:t xml:space="preserve"> E</w:t>
      </w:r>
      <w:r w:rsidR="00FC06F7" w:rsidRPr="00483155">
        <w:rPr>
          <w:rFonts w:asciiTheme="minorHAnsi" w:hAnsiTheme="minorHAnsi" w:cstheme="minorHAnsi"/>
          <w:b/>
          <w:bCs/>
          <w:sz w:val="24"/>
          <w:szCs w:val="24"/>
        </w:rPr>
        <w:t>-Distribuție Muntenia SA</w:t>
      </w:r>
      <w:r w:rsidR="00FC06F7" w:rsidRPr="00483155">
        <w:rPr>
          <w:rFonts w:asciiTheme="minorHAnsi" w:hAnsiTheme="minorHAnsi" w:cstheme="minorHAnsi"/>
          <w:sz w:val="24"/>
          <w:szCs w:val="24"/>
        </w:rPr>
        <w:t xml:space="preserve"> (EDM) a scăzut cu 20% în ultimul an. </w:t>
      </w:r>
      <w:r w:rsidR="00FC06F7" w:rsidRPr="00483155">
        <w:rPr>
          <w:rFonts w:asciiTheme="minorHAnsi" w:hAnsiTheme="minorHAnsi" w:cstheme="minorHAnsi"/>
          <w:bCs/>
          <w:sz w:val="24"/>
          <w:szCs w:val="24"/>
        </w:rPr>
        <w:t>Diminuarea timpului de obținere a ATR s-a înregistrat în condițiile în care, în această perioadă, numărul cererilor de racordare a crescut cu 30%.</w:t>
      </w:r>
    </w:p>
    <w:p w14:paraId="4AFAC14D" w14:textId="6F009FB7" w:rsidR="00FC06F7" w:rsidRPr="00483155" w:rsidRDefault="00C36817" w:rsidP="00FC06F7">
      <w:pPr>
        <w:pStyle w:val="AONormal"/>
        <w:numPr>
          <w:ilvl w:val="0"/>
          <w:numId w:val="15"/>
        </w:numPr>
        <w:spacing w:before="120" w:after="120"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I</w:t>
      </w:r>
      <w:r w:rsidR="00FC06F7" w:rsidRPr="00483155">
        <w:rPr>
          <w:rFonts w:asciiTheme="minorHAnsi" w:hAnsiTheme="minorHAnsi" w:cstheme="minorHAnsi"/>
          <w:sz w:val="24"/>
          <w:szCs w:val="24"/>
          <w:lang w:val="ro-RO"/>
        </w:rPr>
        <w:t xml:space="preserve">ntervenția Consiliului Concurenței a condus la creșterea transparenței procesului de racordare și a gradului general de informare a utilizatorilor în legătură cu procesul de </w:t>
      </w:r>
      <w:r w:rsidR="00FC06F7" w:rsidRPr="00483155">
        <w:rPr>
          <w:rFonts w:asciiTheme="minorHAnsi" w:hAnsiTheme="minorHAnsi" w:cstheme="minorHAnsi"/>
          <w:sz w:val="24"/>
          <w:szCs w:val="24"/>
          <w:lang w:val="ro-RO"/>
        </w:rPr>
        <w:lastRenderedPageBreak/>
        <w:t>racordare, în ultimul an</w:t>
      </w:r>
      <w:r>
        <w:rPr>
          <w:rFonts w:asciiTheme="minorHAnsi" w:hAnsiTheme="minorHAnsi" w:cstheme="minorHAnsi"/>
          <w:sz w:val="24"/>
          <w:szCs w:val="24"/>
          <w:lang w:val="ro-RO"/>
        </w:rPr>
        <w:t>,</w:t>
      </w:r>
      <w:r w:rsidR="00FC06F7" w:rsidRPr="00483155">
        <w:rPr>
          <w:rFonts w:asciiTheme="minorHAnsi" w:hAnsiTheme="minorHAnsi" w:cstheme="minorHAnsi"/>
          <w:sz w:val="24"/>
          <w:szCs w:val="24"/>
          <w:lang w:val="ro-RO"/>
        </w:rPr>
        <w:t xml:space="preserve"> numărul de clienți care utilizează serviciul online de racordare crescând cu peste 90%.</w:t>
      </w:r>
    </w:p>
    <w:p w14:paraId="10D68E14" w14:textId="05FC27BF" w:rsidR="00FC06F7" w:rsidRPr="00483155" w:rsidRDefault="00FC06F7" w:rsidP="00FC06F7">
      <w:pPr>
        <w:pStyle w:val="Default"/>
        <w:numPr>
          <w:ilvl w:val="0"/>
          <w:numId w:val="12"/>
        </w:numPr>
        <w:spacing w:before="120" w:after="120" w:line="276" w:lineRule="auto"/>
        <w:ind w:left="426" w:hanging="284"/>
        <w:jc w:val="both"/>
        <w:rPr>
          <w:rFonts w:asciiTheme="minorHAnsi" w:eastAsia="Calibri" w:hAnsiTheme="minorHAnsi" w:cstheme="minorHAnsi"/>
          <w:color w:val="auto"/>
          <w:lang w:val="ro-RO"/>
        </w:rPr>
      </w:pPr>
      <w:r w:rsidRPr="00483155">
        <w:rPr>
          <w:rFonts w:asciiTheme="minorHAnsi" w:hAnsiTheme="minorHAnsi" w:cstheme="minorHAnsi"/>
          <w:lang w:val="ro-RO"/>
        </w:rPr>
        <w:t xml:space="preserve">În urma </w:t>
      </w:r>
      <w:r w:rsidR="00C36817">
        <w:rPr>
          <w:rFonts w:asciiTheme="minorHAnsi" w:hAnsiTheme="minorHAnsi" w:cstheme="minorHAnsi"/>
          <w:b/>
          <w:bCs/>
          <w:lang w:val="ro-RO"/>
        </w:rPr>
        <w:t>a</w:t>
      </w:r>
      <w:r w:rsidRPr="004741C2">
        <w:rPr>
          <w:rFonts w:asciiTheme="minorHAnsi" w:hAnsiTheme="minorHAnsi" w:cstheme="minorHAnsi"/>
          <w:b/>
          <w:bCs/>
          <w:lang w:val="ro-RO"/>
        </w:rPr>
        <w:t>nalizei privind lucrările de racordare la rețelele de energie electrică și gaze naturale</w:t>
      </w:r>
      <w:r w:rsidRPr="00C36817">
        <w:rPr>
          <w:rFonts w:asciiTheme="minorHAnsi" w:hAnsiTheme="minorHAnsi" w:cstheme="minorHAnsi"/>
          <w:b/>
          <w:bCs/>
          <w:lang w:val="ro-RO"/>
        </w:rPr>
        <w:t>,</w:t>
      </w:r>
      <w:r w:rsidRPr="00483155">
        <w:rPr>
          <w:rFonts w:asciiTheme="minorHAnsi" w:hAnsiTheme="minorHAnsi" w:cstheme="minorHAnsi"/>
          <w:lang w:val="ro-RO"/>
        </w:rPr>
        <w:t xml:space="preserve"> autoritatea de concurență a făcut o serie de recomandări pentru ajustarea legislației în domeniu, astfel încât să fie simplificate procedurile </w:t>
      </w:r>
      <w:r w:rsidRPr="00483155">
        <w:rPr>
          <w:rFonts w:asciiTheme="minorHAnsi" w:eastAsia="Calibri" w:hAnsiTheme="minorHAnsi" w:cstheme="minorHAnsi"/>
          <w:color w:val="auto"/>
          <w:lang w:val="ro-RO"/>
        </w:rPr>
        <w:t>de soluţionare a solicitărilor.</w:t>
      </w:r>
    </w:p>
    <w:p w14:paraId="12154659" w14:textId="358D6C08" w:rsidR="00FC06F7" w:rsidRPr="00483155" w:rsidRDefault="00FC06F7" w:rsidP="00FC06F7">
      <w:pPr>
        <w:pStyle w:val="ListParagraph"/>
        <w:numPr>
          <w:ilvl w:val="0"/>
          <w:numId w:val="17"/>
        </w:numPr>
        <w:spacing w:before="120" w:after="120" w:line="276" w:lineRule="auto"/>
        <w:ind w:left="426" w:hanging="284"/>
        <w:jc w:val="both"/>
        <w:rPr>
          <w:sz w:val="24"/>
          <w:szCs w:val="24"/>
        </w:rPr>
      </w:pPr>
      <w:r w:rsidRPr="00483155">
        <w:rPr>
          <w:b/>
          <w:bCs/>
          <w:sz w:val="24"/>
          <w:szCs w:val="24"/>
        </w:rPr>
        <w:t>Premier Energy SRL, în calitate de succesor legal al companiei Gaz Sud SA a fost sancționată cu 6,3 milioane lei (aprox. 1,3 milioane euro)</w:t>
      </w:r>
      <w:r w:rsidRPr="00483155">
        <w:rPr>
          <w:sz w:val="24"/>
          <w:szCs w:val="24"/>
        </w:rPr>
        <w:t xml:space="preserve"> pentru abuz de poziție dominantă în zonele pentru care a deţinut licenţă de distribuţie</w:t>
      </w:r>
      <w:r w:rsidR="00C36817">
        <w:rPr>
          <w:sz w:val="24"/>
          <w:szCs w:val="24"/>
        </w:rPr>
        <w:t>:</w:t>
      </w:r>
    </w:p>
    <w:p w14:paraId="553876D5" w14:textId="696F939A" w:rsidR="00FC06F7" w:rsidRPr="00483155" w:rsidRDefault="00FC06F7" w:rsidP="00FC06F7">
      <w:pPr>
        <w:pStyle w:val="ListParagraph"/>
        <w:keepNext/>
        <w:numPr>
          <w:ilvl w:val="0"/>
          <w:numId w:val="16"/>
        </w:numPr>
        <w:spacing w:before="120" w:after="120" w:line="276" w:lineRule="auto"/>
        <w:jc w:val="both"/>
        <w:rPr>
          <w:rFonts w:cstheme="minorHAnsi"/>
          <w:sz w:val="24"/>
          <w:szCs w:val="24"/>
        </w:rPr>
      </w:pPr>
      <w:r w:rsidRPr="00483155">
        <w:rPr>
          <w:rFonts w:cstheme="minorHAnsi"/>
        </w:rPr>
        <w:t xml:space="preserve"> </w:t>
      </w:r>
      <w:r w:rsidRPr="00483155">
        <w:rPr>
          <w:rFonts w:cstheme="minorHAnsi"/>
          <w:sz w:val="24"/>
          <w:szCs w:val="24"/>
        </w:rPr>
        <w:t>C</w:t>
      </w:r>
      <w:r w:rsidR="00C36817">
        <w:rPr>
          <w:rFonts w:cstheme="minorHAnsi"/>
          <w:sz w:val="24"/>
          <w:szCs w:val="24"/>
        </w:rPr>
        <w:t xml:space="preserve">onsiliul </w:t>
      </w:r>
      <w:r w:rsidRPr="00483155">
        <w:rPr>
          <w:rFonts w:cstheme="minorHAnsi"/>
          <w:sz w:val="24"/>
          <w:szCs w:val="24"/>
        </w:rPr>
        <w:t>C</w:t>
      </w:r>
      <w:r w:rsidR="00C36817">
        <w:rPr>
          <w:rFonts w:cstheme="minorHAnsi"/>
          <w:sz w:val="24"/>
          <w:szCs w:val="24"/>
        </w:rPr>
        <w:t>oncurenței</w:t>
      </w:r>
      <w:r w:rsidRPr="00483155">
        <w:rPr>
          <w:rFonts w:cstheme="minorHAnsi"/>
          <w:sz w:val="24"/>
          <w:szCs w:val="24"/>
        </w:rPr>
        <w:t xml:space="preserve"> a constatat că Gaz Sud a impus tarife discriminatorii pentru servicii de avizare tehnică a proiectelor, de recepţie a lucrărilor şi de punere în funcţiune a Instalaţiilor de Utilizare a Gazelor Naturale (IUGN),</w:t>
      </w:r>
      <w:r w:rsidRPr="00483155">
        <w:rPr>
          <w:rFonts w:cstheme="minorHAnsi"/>
          <w:bCs/>
          <w:sz w:val="24"/>
          <w:szCs w:val="24"/>
        </w:rPr>
        <w:t xml:space="preserve"> </w:t>
      </w:r>
      <w:r w:rsidRPr="00483155">
        <w:rPr>
          <w:rFonts w:cstheme="minorHAnsi"/>
          <w:sz w:val="24"/>
          <w:szCs w:val="24"/>
        </w:rPr>
        <w:t xml:space="preserve">diferenţiate în funcţie de realizatorul lucrărilor de proiectare şi de execuţie a instalaţiilor. </w:t>
      </w:r>
    </w:p>
    <w:p w14:paraId="7233B38D" w14:textId="77777777" w:rsidR="00FC06F7" w:rsidRPr="00483155" w:rsidRDefault="00FC06F7" w:rsidP="00FC06F7">
      <w:pPr>
        <w:pStyle w:val="ListParagraph"/>
        <w:numPr>
          <w:ilvl w:val="0"/>
          <w:numId w:val="16"/>
        </w:numPr>
        <w:spacing w:before="120" w:after="120" w:line="276" w:lineRule="auto"/>
        <w:jc w:val="both"/>
        <w:rPr>
          <w:rFonts w:cstheme="minorHAnsi"/>
          <w:sz w:val="24"/>
          <w:szCs w:val="24"/>
        </w:rPr>
      </w:pPr>
      <w:r w:rsidRPr="00483155">
        <w:rPr>
          <w:rFonts w:cstheme="minorHAnsi"/>
          <w:sz w:val="24"/>
          <w:szCs w:val="24"/>
        </w:rPr>
        <w:t xml:space="preserve">Compania a beneficiat de o reducere de 15% a amenzii pentru că a recunoscut încălcarea legii. </w:t>
      </w:r>
    </w:p>
    <w:p w14:paraId="447C10D3" w14:textId="77777777" w:rsidR="00FC06F7" w:rsidRPr="00483155" w:rsidRDefault="00FC06F7" w:rsidP="00FC06F7">
      <w:pPr>
        <w:pStyle w:val="ListParagraph"/>
        <w:numPr>
          <w:ilvl w:val="0"/>
          <w:numId w:val="16"/>
        </w:numPr>
        <w:spacing w:before="120" w:after="120" w:line="276" w:lineRule="auto"/>
        <w:jc w:val="both"/>
        <w:rPr>
          <w:rFonts w:cstheme="minorHAnsi"/>
          <w:sz w:val="24"/>
          <w:szCs w:val="24"/>
        </w:rPr>
      </w:pPr>
      <w:r w:rsidRPr="00483155">
        <w:rPr>
          <w:rFonts w:cstheme="minorHAnsi"/>
          <w:sz w:val="24"/>
          <w:szCs w:val="24"/>
        </w:rPr>
        <w:t>Premier Energy SRL a acordat despăgubiri persoanelor prejudiciate, în valoare totală de 88.347,74 lei.</w:t>
      </w:r>
    </w:p>
    <w:p w14:paraId="669E3801" w14:textId="0D7637BD" w:rsidR="00FC06F7" w:rsidRPr="00483155" w:rsidRDefault="00FC06F7" w:rsidP="00FC06F7">
      <w:pPr>
        <w:pStyle w:val="ListParagraph"/>
        <w:numPr>
          <w:ilvl w:val="0"/>
          <w:numId w:val="17"/>
        </w:numPr>
        <w:spacing w:before="120" w:after="120" w:line="276" w:lineRule="auto"/>
        <w:ind w:left="426" w:hanging="284"/>
        <w:jc w:val="both"/>
        <w:rPr>
          <w:sz w:val="24"/>
          <w:szCs w:val="24"/>
        </w:rPr>
      </w:pPr>
      <w:bookmarkStart w:id="1" w:name="_Hlk32229333"/>
      <w:r w:rsidRPr="00483155">
        <w:rPr>
          <w:sz w:val="24"/>
          <w:szCs w:val="24"/>
        </w:rPr>
        <w:t xml:space="preserve">Compania </w:t>
      </w:r>
      <w:r w:rsidRPr="00483155">
        <w:rPr>
          <w:b/>
          <w:bCs/>
          <w:sz w:val="24"/>
          <w:szCs w:val="24"/>
        </w:rPr>
        <w:t xml:space="preserve">Distrigaz Sud Rețele SRL </w:t>
      </w:r>
      <w:bookmarkEnd w:id="1"/>
      <w:r w:rsidRPr="00483155">
        <w:rPr>
          <w:b/>
          <w:bCs/>
          <w:sz w:val="24"/>
          <w:szCs w:val="24"/>
        </w:rPr>
        <w:t>(DGSR) a fost amendată cu 17.650.326 lei (aprox. 3,7</w:t>
      </w:r>
      <w:r w:rsidRPr="00483155">
        <w:rPr>
          <w:sz w:val="24"/>
          <w:szCs w:val="24"/>
        </w:rPr>
        <w:t xml:space="preserve"> </w:t>
      </w:r>
      <w:r w:rsidRPr="00483155">
        <w:rPr>
          <w:b/>
          <w:bCs/>
          <w:sz w:val="24"/>
          <w:szCs w:val="24"/>
        </w:rPr>
        <w:t>milioane euro</w:t>
      </w:r>
      <w:r w:rsidRPr="00483155">
        <w:rPr>
          <w:sz w:val="24"/>
          <w:szCs w:val="24"/>
        </w:rPr>
        <w:t>) pentru abuz de poziție dominantă în zonele pentru care a deţinut licenţă de distribuţie</w:t>
      </w:r>
      <w:r w:rsidR="00C36817">
        <w:rPr>
          <w:sz w:val="24"/>
          <w:szCs w:val="24"/>
        </w:rPr>
        <w:t>:</w:t>
      </w:r>
    </w:p>
    <w:p w14:paraId="5ED777E5" w14:textId="77777777" w:rsidR="00FC06F7" w:rsidRPr="00483155" w:rsidRDefault="00FC06F7" w:rsidP="00FC06F7">
      <w:pPr>
        <w:pStyle w:val="ListParagraph"/>
        <w:numPr>
          <w:ilvl w:val="0"/>
          <w:numId w:val="18"/>
        </w:numPr>
        <w:spacing w:before="120" w:after="120" w:line="276" w:lineRule="auto"/>
        <w:jc w:val="both"/>
        <w:rPr>
          <w:sz w:val="24"/>
          <w:szCs w:val="24"/>
        </w:rPr>
      </w:pPr>
      <w:r w:rsidRPr="00483155">
        <w:rPr>
          <w:sz w:val="24"/>
          <w:szCs w:val="24"/>
        </w:rPr>
        <w:t xml:space="preserve">DGSR avea, conform legislației, dreptul exclusiv de a aviza proiectele tehnice, de a recepţiona lucrările de execuție şi de a pune în funcţiune instalaţiile de utilizare a gazelor naturale (IUGN). De asemenea, stabilea și încasa tarife aferente acestor servicii. </w:t>
      </w:r>
    </w:p>
    <w:p w14:paraId="0B1F7DDC" w14:textId="77777777" w:rsidR="00FC06F7" w:rsidRPr="00483155" w:rsidRDefault="00FC06F7" w:rsidP="00FC06F7">
      <w:pPr>
        <w:pStyle w:val="ListParagraph"/>
        <w:numPr>
          <w:ilvl w:val="0"/>
          <w:numId w:val="18"/>
        </w:numPr>
        <w:spacing w:before="120" w:after="120" w:line="276" w:lineRule="auto"/>
        <w:jc w:val="both"/>
        <w:rPr>
          <w:sz w:val="24"/>
          <w:szCs w:val="24"/>
        </w:rPr>
      </w:pPr>
      <w:r w:rsidRPr="00483155">
        <w:rPr>
          <w:sz w:val="24"/>
          <w:szCs w:val="24"/>
        </w:rPr>
        <w:t>Distrigaz Sud Rețele SRL (DGSR) a stabilit şi a practicat tarife excesive, nejustificate economic, pentru avizarea tehnică a proiectelor de execuție a IUGN şi pentru recepţia lucrărilor și pentru punerea în funcţiune a acestora în perioada 2013-2019.</w:t>
      </w:r>
    </w:p>
    <w:p w14:paraId="522C2974" w14:textId="77777777" w:rsidR="00FC06F7" w:rsidRPr="00483155" w:rsidRDefault="00FC06F7" w:rsidP="00FC06F7">
      <w:pPr>
        <w:pStyle w:val="ListParagraph"/>
        <w:numPr>
          <w:ilvl w:val="0"/>
          <w:numId w:val="18"/>
        </w:numPr>
        <w:spacing w:before="120" w:after="120" w:line="276" w:lineRule="auto"/>
        <w:jc w:val="both"/>
        <w:rPr>
          <w:sz w:val="24"/>
          <w:szCs w:val="24"/>
        </w:rPr>
      </w:pPr>
      <w:r w:rsidRPr="00483155">
        <w:rPr>
          <w:sz w:val="24"/>
          <w:szCs w:val="24"/>
        </w:rPr>
        <w:t>În consecință, pentru avizarea tehnică și pentru recepția instalațiilor de utilizare și punerea în funcțiune a acestora, DGSR a practicat tarife mai mari decât media pieței.</w:t>
      </w:r>
    </w:p>
    <w:p w14:paraId="033F1A64" w14:textId="77777777" w:rsidR="00FC06F7" w:rsidRPr="00483155" w:rsidRDefault="00FC06F7" w:rsidP="00FC06F7">
      <w:pPr>
        <w:pStyle w:val="ListParagraph"/>
        <w:numPr>
          <w:ilvl w:val="0"/>
          <w:numId w:val="18"/>
        </w:numPr>
        <w:spacing w:before="120" w:after="120" w:line="276" w:lineRule="auto"/>
        <w:jc w:val="both"/>
        <w:rPr>
          <w:sz w:val="24"/>
          <w:szCs w:val="24"/>
        </w:rPr>
      </w:pPr>
      <w:r w:rsidRPr="00483155">
        <w:rPr>
          <w:sz w:val="24"/>
          <w:szCs w:val="24"/>
        </w:rPr>
        <w:t>Comportamentul Distrigaz Sud Rețele s-a manifestat în perioada în care a fost singurul prestator al acestor servicii, consumatorii neavând posibilitatea de a alege alt operator.</w:t>
      </w:r>
    </w:p>
    <w:p w14:paraId="142A54BB" w14:textId="78E11D4A" w:rsidR="00B52F28" w:rsidRPr="00483155" w:rsidRDefault="006A60D1" w:rsidP="00135D21">
      <w:pPr>
        <w:spacing w:after="0" w:line="240" w:lineRule="auto"/>
        <w:rPr>
          <w:sz w:val="24"/>
          <w:szCs w:val="24"/>
        </w:rPr>
      </w:pPr>
      <w:r w:rsidRPr="00483155">
        <w:rPr>
          <w:sz w:val="24"/>
          <w:szCs w:val="24"/>
        </w:rPr>
        <w:t>Ianuarie 2021</w:t>
      </w:r>
    </w:p>
    <w:p w14:paraId="52095931" w14:textId="59DE9A27" w:rsidR="005F0BB7" w:rsidRPr="00483155" w:rsidRDefault="00820FFD" w:rsidP="00135D21">
      <w:pPr>
        <w:spacing w:after="0" w:line="240" w:lineRule="auto"/>
        <w:jc w:val="both"/>
        <w:rPr>
          <w:rFonts w:eastAsia="Times New Roman" w:cstheme="minorHAnsi"/>
          <w:b/>
          <w:bCs/>
          <w:color w:val="1D2129"/>
          <w:sz w:val="24"/>
          <w:szCs w:val="24"/>
        </w:rPr>
      </w:pPr>
      <w:r w:rsidRPr="00483155">
        <w:rPr>
          <w:rFonts w:eastAsia="Times New Roman" w:cstheme="minorHAnsi"/>
          <w:b/>
          <w:bCs/>
          <w:color w:val="1D2129"/>
          <w:sz w:val="24"/>
          <w:szCs w:val="24"/>
        </w:rPr>
        <w:t>Biroul de Pres</w:t>
      </w:r>
      <w:bookmarkEnd w:id="0"/>
      <w:r w:rsidR="00DE5E41" w:rsidRPr="00483155">
        <w:rPr>
          <w:rFonts w:eastAsia="Times New Roman" w:cstheme="minorHAnsi"/>
          <w:b/>
          <w:bCs/>
          <w:color w:val="1D2129"/>
          <w:sz w:val="24"/>
          <w:szCs w:val="24"/>
        </w:rPr>
        <w:t>ă</w:t>
      </w:r>
    </w:p>
    <w:p w14:paraId="04162A64" w14:textId="77777777" w:rsidR="00DE5E41" w:rsidRPr="00483155" w:rsidRDefault="00DE5E41" w:rsidP="00DE5E41">
      <w:pPr>
        <w:spacing w:after="0" w:line="360" w:lineRule="auto"/>
        <w:jc w:val="both"/>
        <w:rPr>
          <w:sz w:val="24"/>
          <w:szCs w:val="24"/>
        </w:rPr>
      </w:pPr>
      <w:r w:rsidRPr="00483155">
        <w:rPr>
          <w:rFonts w:ascii="Calibri" w:hAnsi="Calibri" w:cs="Arial"/>
          <w:sz w:val="24"/>
          <w:szCs w:val="24"/>
        </w:rPr>
        <w:t xml:space="preserve">Tel: 0372.129.710; fax: 021405.44.02; E-mail: </w:t>
      </w:r>
      <w:hyperlink r:id="rId8" w:history="1">
        <w:r w:rsidRPr="00483155">
          <w:rPr>
            <w:rStyle w:val="Hyperlink"/>
            <w:rFonts w:ascii="Calibri" w:hAnsi="Calibri" w:cs="Arial"/>
            <w:sz w:val="24"/>
            <w:szCs w:val="24"/>
          </w:rPr>
          <w:t>presa@consiliulconcurentei.ro</w:t>
        </w:r>
      </w:hyperlink>
    </w:p>
    <w:sectPr w:rsidR="00DE5E41" w:rsidRPr="00483155" w:rsidSect="00135D21">
      <w:headerReference w:type="default" r:id="rId9"/>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B2EFD" w14:textId="77777777" w:rsidR="00831DE1" w:rsidRDefault="00831DE1" w:rsidP="00D040B9">
      <w:pPr>
        <w:spacing w:after="0" w:line="240" w:lineRule="auto"/>
      </w:pPr>
      <w:r>
        <w:separator/>
      </w:r>
    </w:p>
  </w:endnote>
  <w:endnote w:type="continuationSeparator" w:id="0">
    <w:p w14:paraId="10D2EAA1" w14:textId="77777777" w:rsidR="00831DE1" w:rsidRDefault="00831DE1" w:rsidP="00D0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080683"/>
      <w:docPartObj>
        <w:docPartGallery w:val="Page Numbers (Bottom of Page)"/>
        <w:docPartUnique/>
      </w:docPartObj>
    </w:sdtPr>
    <w:sdtEndPr>
      <w:rPr>
        <w:noProof/>
      </w:rPr>
    </w:sdtEndPr>
    <w:sdtContent>
      <w:p w14:paraId="71C46172" w14:textId="176DE6A2" w:rsidR="00135D21" w:rsidRDefault="00135D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67C4A" w14:textId="77777777" w:rsidR="00831DE1" w:rsidRDefault="00831DE1" w:rsidP="00D040B9">
      <w:pPr>
        <w:spacing w:after="0" w:line="240" w:lineRule="auto"/>
      </w:pPr>
      <w:r>
        <w:separator/>
      </w:r>
    </w:p>
  </w:footnote>
  <w:footnote w:type="continuationSeparator" w:id="0">
    <w:p w14:paraId="16613724" w14:textId="77777777" w:rsidR="00831DE1" w:rsidRDefault="00831DE1" w:rsidP="00D0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5043" w14:textId="35E952C0" w:rsidR="00D040B9" w:rsidRPr="00D040B9" w:rsidRDefault="00D040B9" w:rsidP="00D040B9">
    <w:pPr>
      <w:pStyle w:val="Header"/>
    </w:pPr>
    <w:r w:rsidRPr="00E07CDE">
      <w:rPr>
        <w:noProof/>
      </w:rPr>
      <w:drawing>
        <wp:inline distT="0" distB="0" distL="0" distR="0" wp14:anchorId="53187307" wp14:editId="65F5EBA7">
          <wp:extent cx="5731510" cy="770255"/>
          <wp:effectExtent l="0" t="0" r="0" b="0"/>
          <wp:docPr id="3" name="Picture 3" descr="antet_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77D7"/>
    <w:multiLevelType w:val="hybridMultilevel"/>
    <w:tmpl w:val="7B0AB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EA5ACF"/>
    <w:multiLevelType w:val="hybridMultilevel"/>
    <w:tmpl w:val="BFDAA86A"/>
    <w:lvl w:ilvl="0" w:tplc="DD62991E">
      <w:start w:val="19"/>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AC11925"/>
    <w:multiLevelType w:val="hybridMultilevel"/>
    <w:tmpl w:val="A9F807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3973AC"/>
    <w:multiLevelType w:val="hybridMultilevel"/>
    <w:tmpl w:val="DDA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C496E"/>
    <w:multiLevelType w:val="hybridMultilevel"/>
    <w:tmpl w:val="90A69CEE"/>
    <w:lvl w:ilvl="0" w:tplc="0418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F41CA"/>
    <w:multiLevelType w:val="hybridMultilevel"/>
    <w:tmpl w:val="42A4EE0E"/>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D9436E1"/>
    <w:multiLevelType w:val="hybridMultilevel"/>
    <w:tmpl w:val="1C44CA7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378E6E64"/>
    <w:multiLevelType w:val="hybridMultilevel"/>
    <w:tmpl w:val="EF0AF1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9AE7613"/>
    <w:multiLevelType w:val="hybridMultilevel"/>
    <w:tmpl w:val="1D9A1AAC"/>
    <w:lvl w:ilvl="0" w:tplc="0418000B">
      <w:start w:val="1"/>
      <w:numFmt w:val="bullet"/>
      <w:lvlText w:val=""/>
      <w:lvlJc w:val="left"/>
      <w:pPr>
        <w:ind w:left="720" w:hanging="360"/>
      </w:pPr>
      <w:rPr>
        <w:rFonts w:ascii="Wingdings" w:hAnsi="Wingdings"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DC53291"/>
    <w:multiLevelType w:val="hybridMultilevel"/>
    <w:tmpl w:val="481A770E"/>
    <w:lvl w:ilvl="0" w:tplc="7F9C16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71C8D"/>
    <w:multiLevelType w:val="hybridMultilevel"/>
    <w:tmpl w:val="A3CC52D6"/>
    <w:lvl w:ilvl="0" w:tplc="7B7A97B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1C4D0A"/>
    <w:multiLevelType w:val="hybridMultilevel"/>
    <w:tmpl w:val="9C5CFF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F539FC"/>
    <w:multiLevelType w:val="hybridMultilevel"/>
    <w:tmpl w:val="A7F045F2"/>
    <w:lvl w:ilvl="0" w:tplc="B4385D9E">
      <w:start w:val="1"/>
      <w:numFmt w:val="decimal"/>
      <w:lvlText w:val="(%1)"/>
      <w:lvlJc w:val="left"/>
      <w:pPr>
        <w:ind w:left="99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A7652"/>
    <w:multiLevelType w:val="hybridMultilevel"/>
    <w:tmpl w:val="0B9EF2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D522D02"/>
    <w:multiLevelType w:val="hybridMultilevel"/>
    <w:tmpl w:val="66C4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30DB5"/>
    <w:multiLevelType w:val="hybridMultilevel"/>
    <w:tmpl w:val="958C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A20B2"/>
    <w:multiLevelType w:val="hybridMultilevel"/>
    <w:tmpl w:val="539C0E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EC34540"/>
    <w:multiLevelType w:val="hybridMultilevel"/>
    <w:tmpl w:val="7320FD6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5"/>
  </w:num>
  <w:num w:numId="4">
    <w:abstractNumId w:val="12"/>
  </w:num>
  <w:num w:numId="5">
    <w:abstractNumId w:val="9"/>
  </w:num>
  <w:num w:numId="6">
    <w:abstractNumId w:val="17"/>
  </w:num>
  <w:num w:numId="7">
    <w:abstractNumId w:val="5"/>
  </w:num>
  <w:num w:numId="8">
    <w:abstractNumId w:val="4"/>
  </w:num>
  <w:num w:numId="9">
    <w:abstractNumId w:val="6"/>
  </w:num>
  <w:num w:numId="10">
    <w:abstractNumId w:val="14"/>
  </w:num>
  <w:num w:numId="11">
    <w:abstractNumId w:val="1"/>
  </w:num>
  <w:num w:numId="12">
    <w:abstractNumId w:val="16"/>
  </w:num>
  <w:num w:numId="13">
    <w:abstractNumId w:val="13"/>
  </w:num>
  <w:num w:numId="14">
    <w:abstractNumId w:val="8"/>
  </w:num>
  <w:num w:numId="15">
    <w:abstractNumId w:val="11"/>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90"/>
    <w:rsid w:val="00071E1F"/>
    <w:rsid w:val="00071E62"/>
    <w:rsid w:val="00084353"/>
    <w:rsid w:val="000F277E"/>
    <w:rsid w:val="000F7253"/>
    <w:rsid w:val="00135D21"/>
    <w:rsid w:val="001A1A01"/>
    <w:rsid w:val="001E3068"/>
    <w:rsid w:val="0022440F"/>
    <w:rsid w:val="002365C7"/>
    <w:rsid w:val="00236BAE"/>
    <w:rsid w:val="00253F7E"/>
    <w:rsid w:val="002C4379"/>
    <w:rsid w:val="002F2C6F"/>
    <w:rsid w:val="00307929"/>
    <w:rsid w:val="00333CDA"/>
    <w:rsid w:val="0036328C"/>
    <w:rsid w:val="003818A8"/>
    <w:rsid w:val="003D54E9"/>
    <w:rsid w:val="00447D28"/>
    <w:rsid w:val="004741C2"/>
    <w:rsid w:val="00483155"/>
    <w:rsid w:val="004E1FBB"/>
    <w:rsid w:val="00525767"/>
    <w:rsid w:val="00546679"/>
    <w:rsid w:val="005524B0"/>
    <w:rsid w:val="00583FC9"/>
    <w:rsid w:val="005F0BB7"/>
    <w:rsid w:val="006074FC"/>
    <w:rsid w:val="00623394"/>
    <w:rsid w:val="00644CBC"/>
    <w:rsid w:val="006812D6"/>
    <w:rsid w:val="006A60D1"/>
    <w:rsid w:val="00703409"/>
    <w:rsid w:val="00786A47"/>
    <w:rsid w:val="007B3556"/>
    <w:rsid w:val="007C27BE"/>
    <w:rsid w:val="00820FFD"/>
    <w:rsid w:val="00831DE1"/>
    <w:rsid w:val="008615FB"/>
    <w:rsid w:val="008622B5"/>
    <w:rsid w:val="008C7CA2"/>
    <w:rsid w:val="00906BA0"/>
    <w:rsid w:val="009378BD"/>
    <w:rsid w:val="00956AB6"/>
    <w:rsid w:val="009B1CEE"/>
    <w:rsid w:val="009F3A02"/>
    <w:rsid w:val="00A82E0E"/>
    <w:rsid w:val="00AF3333"/>
    <w:rsid w:val="00AF6318"/>
    <w:rsid w:val="00B03AB1"/>
    <w:rsid w:val="00B52F28"/>
    <w:rsid w:val="00B744D7"/>
    <w:rsid w:val="00BC10FD"/>
    <w:rsid w:val="00C16490"/>
    <w:rsid w:val="00C36817"/>
    <w:rsid w:val="00C458CB"/>
    <w:rsid w:val="00C46C46"/>
    <w:rsid w:val="00C57AB0"/>
    <w:rsid w:val="00CE3298"/>
    <w:rsid w:val="00CE7393"/>
    <w:rsid w:val="00D040B9"/>
    <w:rsid w:val="00D2052D"/>
    <w:rsid w:val="00D43010"/>
    <w:rsid w:val="00D622A0"/>
    <w:rsid w:val="00D65384"/>
    <w:rsid w:val="00DE114A"/>
    <w:rsid w:val="00DE5E41"/>
    <w:rsid w:val="00E031B1"/>
    <w:rsid w:val="00E6681D"/>
    <w:rsid w:val="00E74628"/>
    <w:rsid w:val="00E83AEA"/>
    <w:rsid w:val="00E85A6A"/>
    <w:rsid w:val="00EB56A5"/>
    <w:rsid w:val="00EE08AF"/>
    <w:rsid w:val="00F038B2"/>
    <w:rsid w:val="00F37054"/>
    <w:rsid w:val="00F640A3"/>
    <w:rsid w:val="00FC06F7"/>
    <w:rsid w:val="00FD0C7C"/>
    <w:rsid w:val="00FD7D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A307"/>
  <w15:chartTrackingRefBased/>
  <w15:docId w15:val="{A7CD22F2-40CE-4ACA-B6D9-6008EB47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74628"/>
    <w:pPr>
      <w:keepNext/>
      <w:keepLines/>
      <w:spacing w:before="40" w:after="0" w:line="276" w:lineRule="auto"/>
      <w:outlineLvl w:val="1"/>
    </w:pPr>
    <w:rPr>
      <w:rFonts w:ascii="Cambria" w:eastAsia="MS Gothic" w:hAnsi="Cambria" w:cs="Times New Roman"/>
      <w:b/>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2,List Paragraph1,3,Bullet Points,F5 List Paragraph,Issue Action POC,List Paragraph2,MAIN CONTENT,Normal numbered,POCG Table Text,Forth level,Dot pt,No Spacing1,List Paragraph Char Char Char,Indicator Text,Numbered Para 1,LISTA,L,2"/>
    <w:basedOn w:val="Normal"/>
    <w:link w:val="ListParagraphChar"/>
    <w:uiPriority w:val="34"/>
    <w:qFormat/>
    <w:rsid w:val="005F0BB7"/>
    <w:pPr>
      <w:spacing w:after="0" w:line="240" w:lineRule="auto"/>
      <w:ind w:left="720"/>
    </w:pPr>
    <w:rPr>
      <w:rFonts w:ascii="Calibri" w:hAnsi="Calibri" w:cs="Calibri"/>
      <w:lang w:eastAsia="ro-RO"/>
    </w:rPr>
  </w:style>
  <w:style w:type="paragraph" w:styleId="Header">
    <w:name w:val="header"/>
    <w:basedOn w:val="Normal"/>
    <w:link w:val="HeaderChar"/>
    <w:uiPriority w:val="99"/>
    <w:unhideWhenUsed/>
    <w:rsid w:val="00D04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0B9"/>
  </w:style>
  <w:style w:type="paragraph" w:styleId="Footer">
    <w:name w:val="footer"/>
    <w:basedOn w:val="Normal"/>
    <w:link w:val="FooterChar"/>
    <w:uiPriority w:val="99"/>
    <w:unhideWhenUsed/>
    <w:rsid w:val="00D04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0B9"/>
  </w:style>
  <w:style w:type="character" w:styleId="Hyperlink">
    <w:name w:val="Hyperlink"/>
    <w:rsid w:val="00DE5E41"/>
    <w:rPr>
      <w:color w:val="0000FF"/>
      <w:u w:val="single"/>
    </w:rPr>
  </w:style>
  <w:style w:type="paragraph" w:styleId="BalloonText">
    <w:name w:val="Balloon Text"/>
    <w:basedOn w:val="Normal"/>
    <w:link w:val="BalloonTextChar"/>
    <w:uiPriority w:val="99"/>
    <w:semiHidden/>
    <w:unhideWhenUsed/>
    <w:rsid w:val="00D6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384"/>
    <w:rPr>
      <w:rFonts w:ascii="Segoe UI" w:hAnsi="Segoe UI" w:cs="Segoe UI"/>
      <w:sz w:val="18"/>
      <w:szCs w:val="18"/>
    </w:rPr>
  </w:style>
  <w:style w:type="character" w:styleId="Strong">
    <w:name w:val="Strong"/>
    <w:basedOn w:val="DefaultParagraphFont"/>
    <w:uiPriority w:val="22"/>
    <w:qFormat/>
    <w:rsid w:val="00071E1F"/>
    <w:rPr>
      <w:b/>
      <w:bCs/>
    </w:rPr>
  </w:style>
  <w:style w:type="character" w:styleId="CommentReference">
    <w:name w:val="annotation reference"/>
    <w:basedOn w:val="DefaultParagraphFont"/>
    <w:uiPriority w:val="99"/>
    <w:semiHidden/>
    <w:unhideWhenUsed/>
    <w:rsid w:val="00FD7DB8"/>
    <w:rPr>
      <w:sz w:val="16"/>
      <w:szCs w:val="16"/>
    </w:rPr>
  </w:style>
  <w:style w:type="paragraph" w:styleId="CommentText">
    <w:name w:val="annotation text"/>
    <w:basedOn w:val="Normal"/>
    <w:link w:val="CommentTextChar"/>
    <w:uiPriority w:val="99"/>
    <w:semiHidden/>
    <w:unhideWhenUsed/>
    <w:rsid w:val="00FD7DB8"/>
    <w:pPr>
      <w:spacing w:line="240" w:lineRule="auto"/>
    </w:pPr>
    <w:rPr>
      <w:sz w:val="20"/>
      <w:szCs w:val="20"/>
    </w:rPr>
  </w:style>
  <w:style w:type="character" w:customStyle="1" w:styleId="CommentTextChar">
    <w:name w:val="Comment Text Char"/>
    <w:basedOn w:val="DefaultParagraphFont"/>
    <w:link w:val="CommentText"/>
    <w:uiPriority w:val="99"/>
    <w:semiHidden/>
    <w:rsid w:val="00FD7DB8"/>
    <w:rPr>
      <w:sz w:val="20"/>
      <w:szCs w:val="20"/>
    </w:rPr>
  </w:style>
  <w:style w:type="paragraph" w:styleId="CommentSubject">
    <w:name w:val="annotation subject"/>
    <w:basedOn w:val="CommentText"/>
    <w:next w:val="CommentText"/>
    <w:link w:val="CommentSubjectChar"/>
    <w:uiPriority w:val="99"/>
    <w:semiHidden/>
    <w:unhideWhenUsed/>
    <w:rsid w:val="00FD7DB8"/>
    <w:rPr>
      <w:b/>
      <w:bCs/>
    </w:rPr>
  </w:style>
  <w:style w:type="character" w:customStyle="1" w:styleId="CommentSubjectChar">
    <w:name w:val="Comment Subject Char"/>
    <w:basedOn w:val="CommentTextChar"/>
    <w:link w:val="CommentSubject"/>
    <w:uiPriority w:val="99"/>
    <w:semiHidden/>
    <w:rsid w:val="00FD7DB8"/>
    <w:rPr>
      <w:b/>
      <w:bCs/>
      <w:sz w:val="20"/>
      <w:szCs w:val="20"/>
    </w:rPr>
  </w:style>
  <w:style w:type="character" w:customStyle="1" w:styleId="Heading2Char">
    <w:name w:val="Heading 2 Char"/>
    <w:basedOn w:val="DefaultParagraphFont"/>
    <w:link w:val="Heading2"/>
    <w:rsid w:val="00E74628"/>
    <w:rPr>
      <w:rFonts w:ascii="Cambria" w:eastAsia="MS Gothic" w:hAnsi="Cambria" w:cs="Times New Roman"/>
      <w:b/>
      <w:sz w:val="24"/>
      <w:szCs w:val="26"/>
      <w:lang w:val="x-none" w:eastAsia="x-none"/>
    </w:rPr>
  </w:style>
  <w:style w:type="character" w:customStyle="1" w:styleId="ListParagraphChar">
    <w:name w:val="List Paragraph Char"/>
    <w:aliases w:val="Normal2 Char,List Paragraph1 Char,3 Char,Bullet Points Char,F5 List Paragraph Char,Issue Action POC Char,List Paragraph2 Char,MAIN CONTENT Char,Normal numbered Char,POCG Table Text Char,Forth level Char,Dot pt Char,No Spacing1 Char"/>
    <w:link w:val="ListParagraph"/>
    <w:uiPriority w:val="34"/>
    <w:qFormat/>
    <w:locked/>
    <w:rsid w:val="00E74628"/>
    <w:rPr>
      <w:rFonts w:ascii="Calibri" w:hAnsi="Calibri" w:cs="Calibri"/>
      <w:lang w:eastAsia="ro-RO"/>
    </w:rPr>
  </w:style>
  <w:style w:type="paragraph" w:customStyle="1" w:styleId="AONormal">
    <w:name w:val="AONormal"/>
    <w:link w:val="AONormalChar"/>
    <w:rsid w:val="00FC06F7"/>
    <w:pPr>
      <w:spacing w:after="0" w:line="260" w:lineRule="atLeast"/>
    </w:pPr>
    <w:rPr>
      <w:rFonts w:ascii="Times New Roman" w:eastAsia="SimSun" w:hAnsi="Times New Roman" w:cs="Times New Roman"/>
      <w:lang w:val="en-GB"/>
    </w:rPr>
  </w:style>
  <w:style w:type="character" w:customStyle="1" w:styleId="AONormalChar">
    <w:name w:val="AONormal Char"/>
    <w:basedOn w:val="DefaultParagraphFont"/>
    <w:link w:val="AONormal"/>
    <w:rsid w:val="00FC06F7"/>
    <w:rPr>
      <w:rFonts w:ascii="Times New Roman" w:eastAsia="SimSun" w:hAnsi="Times New Roman" w:cs="Times New Roman"/>
      <w:lang w:val="en-GB"/>
    </w:rPr>
  </w:style>
  <w:style w:type="paragraph" w:customStyle="1" w:styleId="Default">
    <w:name w:val="Default"/>
    <w:rsid w:val="00FC06F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8389">
      <w:bodyDiv w:val="1"/>
      <w:marLeft w:val="0"/>
      <w:marRight w:val="0"/>
      <w:marTop w:val="0"/>
      <w:marBottom w:val="0"/>
      <w:divBdr>
        <w:top w:val="none" w:sz="0" w:space="0" w:color="auto"/>
        <w:left w:val="none" w:sz="0" w:space="0" w:color="auto"/>
        <w:bottom w:val="none" w:sz="0" w:space="0" w:color="auto"/>
        <w:right w:val="none" w:sz="0" w:space="0" w:color="auto"/>
      </w:divBdr>
    </w:div>
    <w:div w:id="961501770">
      <w:bodyDiv w:val="1"/>
      <w:marLeft w:val="0"/>
      <w:marRight w:val="0"/>
      <w:marTop w:val="0"/>
      <w:marBottom w:val="0"/>
      <w:divBdr>
        <w:top w:val="none" w:sz="0" w:space="0" w:color="auto"/>
        <w:left w:val="none" w:sz="0" w:space="0" w:color="auto"/>
        <w:bottom w:val="none" w:sz="0" w:space="0" w:color="auto"/>
        <w:right w:val="none" w:sz="0" w:space="0" w:color="auto"/>
      </w:divBdr>
    </w:div>
    <w:div w:id="17365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consiliulconcurentei.ro" TargetMode="External"/><Relationship Id="rId3" Type="http://schemas.openxmlformats.org/officeDocument/2006/relationships/settings" Target="settings.xml"/><Relationship Id="rId7" Type="http://schemas.openxmlformats.org/officeDocument/2006/relationships/hyperlink" Target="http://www.consiliulconcuren&#539;e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1162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Gegea</dc:creator>
  <cp:keywords/>
  <dc:description/>
  <cp:lastModifiedBy>Mihaela Gegea</cp:lastModifiedBy>
  <cp:revision>6</cp:revision>
  <dcterms:created xsi:type="dcterms:W3CDTF">2021-01-14T05:53:00Z</dcterms:created>
  <dcterms:modified xsi:type="dcterms:W3CDTF">2021-01-14T08:40:00Z</dcterms:modified>
</cp:coreProperties>
</file>